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E3" w:rsidRDefault="001A75E3" w:rsidP="00960BC1">
      <w:pPr>
        <w:shd w:val="clear" w:color="auto" w:fill="FFFFFF"/>
        <w:ind w:right="240"/>
        <w:rPr>
          <w:rFonts w:ascii="Calibri" w:hAnsi="Calibri"/>
          <w:b/>
          <w:bCs/>
          <w:color w:val="A6A6A6"/>
          <w:sz w:val="22"/>
          <w:szCs w:val="22"/>
        </w:rPr>
      </w:pPr>
    </w:p>
    <w:p w:rsidR="00960BC1" w:rsidRPr="00696208" w:rsidRDefault="009F6342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 xml:space="preserve">ISKOVÁ ZPRÁVA ZE DNE </w:t>
      </w:r>
      <w:r w:rsidR="00DB1566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B1566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AB5829">
        <w:rPr>
          <w:rFonts w:ascii="Calibri" w:hAnsi="Calibri"/>
          <w:b/>
          <w:bCs/>
          <w:color w:val="A6A6A6"/>
          <w:sz w:val="22"/>
          <w:szCs w:val="22"/>
        </w:rPr>
        <w:t>2019/</w:t>
      </w:r>
      <w:r w:rsidR="00683C0F">
        <w:rPr>
          <w:rFonts w:ascii="Calibri" w:hAnsi="Calibri"/>
          <w:b/>
          <w:bCs/>
          <w:color w:val="A6A6A6"/>
          <w:sz w:val="22"/>
          <w:szCs w:val="22"/>
        </w:rPr>
        <w:t>17</w:t>
      </w:r>
      <w:r w:rsidR="008549DD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683C0F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60BC1" w:rsidRPr="00696208" w:rsidRDefault="00960BC1" w:rsidP="00960BC1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9E08E7" w:rsidRPr="00A56EEB" w:rsidRDefault="009E08E7" w:rsidP="009E08E7">
      <w:pPr>
        <w:rPr>
          <w:b/>
          <w:sz w:val="22"/>
          <w:szCs w:val="22"/>
        </w:rPr>
      </w:pPr>
    </w:p>
    <w:p w:rsidR="00580134" w:rsidRPr="00CC1AFC" w:rsidRDefault="00580134" w:rsidP="00580134">
      <w:pPr>
        <w:pStyle w:val="Bezmezer"/>
      </w:pPr>
      <w:r>
        <w:rPr>
          <w:rFonts w:asciiTheme="minorHAnsi" w:hAnsiTheme="minorHAnsi" w:cs="Arial"/>
          <w:b/>
          <w:bCs/>
        </w:rPr>
        <w:t>Krajská zdravotní představila</w:t>
      </w:r>
      <w:r w:rsidRPr="00CC1AFC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v teplické nemocnici </w:t>
      </w:r>
      <w:r w:rsidRPr="00CC1AFC">
        <w:rPr>
          <w:rFonts w:asciiTheme="minorHAnsi" w:hAnsiTheme="minorHAnsi" w:cs="Arial"/>
          <w:b/>
          <w:bCs/>
        </w:rPr>
        <w:t>nov</w:t>
      </w:r>
      <w:r>
        <w:rPr>
          <w:rFonts w:asciiTheme="minorHAnsi" w:hAnsiTheme="minorHAnsi" w:cs="Arial"/>
          <w:b/>
          <w:bCs/>
        </w:rPr>
        <w:t>é</w:t>
      </w:r>
      <w:r w:rsidRPr="00CC1AFC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prostory</w:t>
      </w:r>
      <w:r w:rsidRPr="00CC1AFC">
        <w:rPr>
          <w:rFonts w:asciiTheme="minorHAnsi" w:hAnsiTheme="minorHAnsi" w:cs="Arial"/>
          <w:b/>
          <w:bCs/>
        </w:rPr>
        <w:t xml:space="preserve"> p</w:t>
      </w:r>
      <w:r w:rsidRPr="00CC1AFC">
        <w:rPr>
          <w:b/>
        </w:rPr>
        <w:t xml:space="preserve">rotialkoholní a </w:t>
      </w:r>
      <w:proofErr w:type="spellStart"/>
      <w:r w:rsidRPr="00CC1AFC">
        <w:rPr>
          <w:b/>
        </w:rPr>
        <w:t>protitoxikomanické</w:t>
      </w:r>
      <w:proofErr w:type="spellEnd"/>
      <w:r w:rsidRPr="00CC1AFC">
        <w:rPr>
          <w:b/>
        </w:rPr>
        <w:t xml:space="preserve"> záchytné stanice</w:t>
      </w:r>
    </w:p>
    <w:p w:rsidR="00580134" w:rsidRPr="002B1651" w:rsidRDefault="00580134" w:rsidP="00580134">
      <w:pPr>
        <w:autoSpaceDE w:val="0"/>
        <w:autoSpaceDN w:val="0"/>
        <w:adjustRightInd w:val="0"/>
        <w:rPr>
          <w:rFonts w:ascii="MNUL" w:hAnsi="MNUL" w:cs="MNUL"/>
          <w:sz w:val="22"/>
          <w:szCs w:val="22"/>
        </w:rPr>
      </w:pPr>
    </w:p>
    <w:p w:rsidR="00D57EB0" w:rsidRPr="00896762" w:rsidRDefault="00580134" w:rsidP="00D57EB0">
      <w:pPr>
        <w:pStyle w:val="Bezmezer"/>
        <w:rPr>
          <w:rFonts w:asciiTheme="minorHAnsi" w:hAnsiTheme="minorHAnsi"/>
          <w:b/>
        </w:rPr>
      </w:pPr>
      <w:r w:rsidRPr="00896762">
        <w:rPr>
          <w:rFonts w:asciiTheme="minorHAnsi" w:hAnsiTheme="minorHAnsi" w:cs="Arial"/>
          <w:b/>
          <w:bCs/>
        </w:rPr>
        <w:t>Krajská zdravotní</w:t>
      </w:r>
      <w:r w:rsidR="00461CA5" w:rsidRPr="00896762">
        <w:rPr>
          <w:rFonts w:asciiTheme="minorHAnsi" w:hAnsiTheme="minorHAnsi" w:cs="Arial"/>
          <w:b/>
          <w:bCs/>
        </w:rPr>
        <w:t>, a. s.,</w:t>
      </w:r>
      <w:r w:rsidRPr="00896762">
        <w:rPr>
          <w:rFonts w:asciiTheme="minorHAnsi" w:hAnsiTheme="minorHAnsi" w:cs="Arial"/>
          <w:b/>
          <w:bCs/>
        </w:rPr>
        <w:t xml:space="preserve"> </w:t>
      </w:r>
      <w:r w:rsidR="00461CA5" w:rsidRPr="00896762">
        <w:rPr>
          <w:rFonts w:asciiTheme="minorHAnsi" w:hAnsiTheme="minorHAnsi" w:cs="Arial"/>
          <w:b/>
          <w:bCs/>
        </w:rPr>
        <w:t xml:space="preserve">(KZ) </w:t>
      </w:r>
      <w:r w:rsidRPr="00896762">
        <w:rPr>
          <w:rFonts w:asciiTheme="minorHAnsi" w:hAnsiTheme="minorHAnsi" w:cs="Arial"/>
          <w:b/>
          <w:bCs/>
        </w:rPr>
        <w:t xml:space="preserve">představila </w:t>
      </w:r>
      <w:r w:rsidR="00461CA5" w:rsidRPr="00896762">
        <w:rPr>
          <w:rFonts w:asciiTheme="minorHAnsi" w:hAnsiTheme="minorHAnsi" w:cs="Arial"/>
          <w:b/>
          <w:bCs/>
        </w:rPr>
        <w:t xml:space="preserve">v úterý 30. dubna 2019 </w:t>
      </w:r>
      <w:r w:rsidRPr="00896762">
        <w:rPr>
          <w:rFonts w:asciiTheme="minorHAnsi" w:hAnsiTheme="minorHAnsi" w:cs="Arial"/>
          <w:b/>
          <w:bCs/>
        </w:rPr>
        <w:t>v teplické nemocnici nové prostory p</w:t>
      </w:r>
      <w:r w:rsidRPr="00896762">
        <w:rPr>
          <w:b/>
        </w:rPr>
        <w:t xml:space="preserve">rotialkoholní a </w:t>
      </w:r>
      <w:proofErr w:type="spellStart"/>
      <w:r w:rsidRPr="00896762">
        <w:rPr>
          <w:b/>
        </w:rPr>
        <w:t>protitoxikomanické</w:t>
      </w:r>
      <w:proofErr w:type="spellEnd"/>
      <w:r w:rsidRPr="00896762">
        <w:rPr>
          <w:b/>
        </w:rPr>
        <w:t xml:space="preserve"> záchytné stanice</w:t>
      </w:r>
      <w:r w:rsidR="00461CA5" w:rsidRPr="00896762">
        <w:rPr>
          <w:b/>
        </w:rPr>
        <w:t xml:space="preserve"> pro Ústecký kraj</w:t>
      </w:r>
      <w:r w:rsidRPr="00896762">
        <w:rPr>
          <w:b/>
        </w:rPr>
        <w:t xml:space="preserve">. </w:t>
      </w:r>
      <w:r w:rsidR="00461CA5" w:rsidRPr="00896762">
        <w:rPr>
          <w:b/>
        </w:rPr>
        <w:t xml:space="preserve">Akce se uskutečnila </w:t>
      </w:r>
      <w:r w:rsidRPr="00896762">
        <w:rPr>
          <w:rFonts w:asciiTheme="minorHAnsi" w:hAnsiTheme="minorHAnsi" w:cstheme="minorHAnsi"/>
          <w:b/>
        </w:rPr>
        <w:t xml:space="preserve">za účasti </w:t>
      </w:r>
      <w:r w:rsidR="000138C9" w:rsidRPr="00896762">
        <w:rPr>
          <w:rFonts w:cs="Calibri"/>
          <w:b/>
        </w:rPr>
        <w:t>prof. MU</w:t>
      </w:r>
      <w:r w:rsidR="00D739D2" w:rsidRPr="00896762">
        <w:rPr>
          <w:rFonts w:cs="Calibri"/>
          <w:b/>
        </w:rPr>
        <w:t xml:space="preserve">Dr. Romana </w:t>
      </w:r>
      <w:proofErr w:type="spellStart"/>
      <w:r w:rsidR="00D739D2" w:rsidRPr="00896762">
        <w:rPr>
          <w:rFonts w:cs="Calibri"/>
          <w:b/>
        </w:rPr>
        <w:t>Prymuly</w:t>
      </w:r>
      <w:proofErr w:type="spellEnd"/>
      <w:r w:rsidR="00D739D2" w:rsidRPr="00896762">
        <w:rPr>
          <w:rFonts w:cs="Calibri"/>
          <w:b/>
        </w:rPr>
        <w:t>, C</w:t>
      </w:r>
      <w:r w:rsidR="000138C9" w:rsidRPr="00896762">
        <w:rPr>
          <w:rFonts w:cs="Calibri"/>
          <w:b/>
        </w:rPr>
        <w:t xml:space="preserve">Sc., </w:t>
      </w:r>
      <w:r w:rsidR="00986238">
        <w:rPr>
          <w:rFonts w:cs="Calibri"/>
          <w:b/>
        </w:rPr>
        <w:t xml:space="preserve">Ph.D., </w:t>
      </w:r>
      <w:r w:rsidRPr="00896762">
        <w:rPr>
          <w:rFonts w:asciiTheme="minorHAnsi" w:hAnsiTheme="minorHAnsi" w:cstheme="minorHAnsi"/>
          <w:b/>
        </w:rPr>
        <w:t>náměstka ministra zdravotnictví ČR</w:t>
      </w:r>
      <w:r w:rsidR="00461CA5" w:rsidRPr="00896762">
        <w:rPr>
          <w:rFonts w:cs="Calibri"/>
          <w:b/>
        </w:rPr>
        <w:t xml:space="preserve">, </w:t>
      </w:r>
      <w:bookmarkStart w:id="0" w:name="_GoBack"/>
      <w:bookmarkEnd w:id="0"/>
      <w:r w:rsidR="000138C9" w:rsidRPr="00896762">
        <w:rPr>
          <w:rFonts w:asciiTheme="minorHAnsi" w:hAnsiTheme="minorHAnsi" w:cstheme="minorHAnsi"/>
          <w:b/>
        </w:rPr>
        <w:t xml:space="preserve">Ing. Jiřího Nováka, předsedy </w:t>
      </w:r>
      <w:r w:rsidR="00461CA5" w:rsidRPr="00896762">
        <w:rPr>
          <w:rFonts w:asciiTheme="minorHAnsi" w:hAnsiTheme="minorHAnsi" w:cstheme="minorHAnsi"/>
          <w:b/>
        </w:rPr>
        <w:t>představe</w:t>
      </w:r>
      <w:r w:rsidR="000138C9" w:rsidRPr="00896762">
        <w:rPr>
          <w:rFonts w:asciiTheme="minorHAnsi" w:hAnsiTheme="minorHAnsi" w:cstheme="minorHAnsi"/>
          <w:b/>
        </w:rPr>
        <w:t xml:space="preserve">nstva KZ, </w:t>
      </w:r>
      <w:r w:rsidR="000138C9" w:rsidRPr="00896762">
        <w:rPr>
          <w:rFonts w:cs="Calibri"/>
          <w:b/>
        </w:rPr>
        <w:t xml:space="preserve">Ing. Petra Fialy, generálního ředitele společnosti, MUDr. Aleše </w:t>
      </w:r>
      <w:proofErr w:type="spellStart"/>
      <w:r w:rsidR="000138C9" w:rsidRPr="00896762">
        <w:rPr>
          <w:rFonts w:cs="Calibri"/>
          <w:b/>
        </w:rPr>
        <w:t>Chodackého</w:t>
      </w:r>
      <w:proofErr w:type="spellEnd"/>
      <w:r w:rsidR="000138C9" w:rsidRPr="00896762">
        <w:rPr>
          <w:rFonts w:cs="Calibri"/>
          <w:b/>
        </w:rPr>
        <w:t xml:space="preserve">, náměstka pro řízení zdravotní péče </w:t>
      </w:r>
      <w:r w:rsidR="00D739D2" w:rsidRPr="00896762">
        <w:rPr>
          <w:rFonts w:cs="Calibri"/>
          <w:b/>
        </w:rPr>
        <w:t xml:space="preserve">a </w:t>
      </w:r>
      <w:r w:rsidR="000138C9" w:rsidRPr="00896762">
        <w:rPr>
          <w:rFonts w:cs="Calibri"/>
          <w:b/>
        </w:rPr>
        <w:t>ředitelů zdra</w:t>
      </w:r>
      <w:r w:rsidR="00D739D2" w:rsidRPr="00896762">
        <w:rPr>
          <w:rFonts w:cs="Calibri"/>
          <w:b/>
        </w:rPr>
        <w:t xml:space="preserve">votní péče nemocnic KZ. </w:t>
      </w:r>
      <w:r w:rsidR="00D57EB0" w:rsidRPr="00896762">
        <w:rPr>
          <w:rFonts w:asciiTheme="minorHAnsi" w:hAnsiTheme="minorHAnsi"/>
          <w:b/>
        </w:rPr>
        <w:t xml:space="preserve">Krajská zdravotní, a. s., prezentovala i další investiční akce v teplické nemocnici. </w:t>
      </w:r>
    </w:p>
    <w:p w:rsidR="00D57EB0" w:rsidRDefault="00D57EB0" w:rsidP="00D57EB0">
      <w:pPr>
        <w:pStyle w:val="Bezmezer"/>
        <w:rPr>
          <w:rFonts w:asciiTheme="minorHAnsi" w:hAnsiTheme="minorHAnsi"/>
          <w:b/>
        </w:rPr>
      </w:pPr>
    </w:p>
    <w:p w:rsidR="00896762" w:rsidRDefault="00896762" w:rsidP="00896762">
      <w:pPr>
        <w:pStyle w:val="Bezmezer"/>
        <w:rPr>
          <w:rFonts w:asciiTheme="minorHAnsi" w:hAnsiTheme="minorHAnsi" w:cs="Arial"/>
        </w:rPr>
      </w:pPr>
      <w:r w:rsidRPr="007A2A00">
        <w:rPr>
          <w:rFonts w:asciiTheme="minorHAnsi" w:hAnsiTheme="minorHAnsi" w:cs="Arial"/>
        </w:rPr>
        <w:t>„</w:t>
      </w:r>
      <w:r w:rsidR="003D1BBF">
        <w:rPr>
          <w:rFonts w:asciiTheme="minorHAnsi" w:hAnsiTheme="minorHAnsi" w:cs="Arial"/>
        </w:rPr>
        <w:t>Chceme otevřít v Ústeckém kraj</w:t>
      </w:r>
      <w:r w:rsidR="00207D47">
        <w:rPr>
          <w:rFonts w:asciiTheme="minorHAnsi" w:hAnsiTheme="minorHAnsi" w:cs="Arial"/>
        </w:rPr>
        <w:t>i</w:t>
      </w:r>
      <w:r w:rsidR="00CE17F3">
        <w:rPr>
          <w:rFonts w:asciiTheme="minorHAnsi" w:hAnsiTheme="minorHAnsi" w:cs="Arial"/>
        </w:rPr>
        <w:t xml:space="preserve"> po 18 letech záchytnou stanic</w:t>
      </w:r>
      <w:r w:rsidR="003D1BBF">
        <w:rPr>
          <w:rFonts w:asciiTheme="minorHAnsi" w:hAnsiTheme="minorHAnsi" w:cs="Arial"/>
        </w:rPr>
        <w:t xml:space="preserve">i. </w:t>
      </w:r>
      <w:r w:rsidR="00CE17F3">
        <w:rPr>
          <w:rFonts w:asciiTheme="minorHAnsi" w:hAnsiTheme="minorHAnsi" w:cs="Arial"/>
        </w:rPr>
        <w:t>Ta p</w:t>
      </w:r>
      <w:r w:rsidR="003D1BBF">
        <w:rPr>
          <w:rFonts w:asciiTheme="minorHAnsi" w:hAnsiTheme="minorHAnsi" w:cs="Arial"/>
        </w:rPr>
        <w:t xml:space="preserve">oslední </w:t>
      </w:r>
      <w:r w:rsidR="00986238">
        <w:rPr>
          <w:rFonts w:asciiTheme="minorHAnsi" w:hAnsiTheme="minorHAnsi" w:cs="Arial"/>
        </w:rPr>
        <w:t>skončila</w:t>
      </w:r>
      <w:r w:rsidR="003D1BBF">
        <w:rPr>
          <w:rFonts w:asciiTheme="minorHAnsi" w:hAnsiTheme="minorHAnsi" w:cs="Arial"/>
        </w:rPr>
        <w:t xml:space="preserve"> v roce 2001 v Bílině a od té doby náš kraj záchytnou stanici neměl. </w:t>
      </w:r>
      <w:r w:rsidR="00DD2621">
        <w:rPr>
          <w:rFonts w:asciiTheme="minorHAnsi" w:hAnsiTheme="minorHAnsi" w:cs="Arial"/>
        </w:rPr>
        <w:t xml:space="preserve">Zvažovali jsme, kde </w:t>
      </w:r>
      <w:r w:rsidR="003D1BBF">
        <w:rPr>
          <w:rFonts w:asciiTheme="minorHAnsi" w:hAnsiTheme="minorHAnsi" w:cs="Arial"/>
        </w:rPr>
        <w:t xml:space="preserve">ji vybudovat. Možnosti odpovídaly počtu pěti nemocnic, které Krajská zdravotní spravuje. Díky vstřícnosti ředitele zdravotní péče teplické nemocnice MUDr. Tomáše Hrubého a </w:t>
      </w:r>
      <w:r w:rsidR="006E3E83">
        <w:rPr>
          <w:rFonts w:asciiTheme="minorHAnsi" w:hAnsiTheme="minorHAnsi" w:cs="Arial"/>
        </w:rPr>
        <w:t>faktu</w:t>
      </w:r>
      <w:r w:rsidR="00986238">
        <w:rPr>
          <w:rFonts w:asciiTheme="minorHAnsi" w:hAnsiTheme="minorHAnsi" w:cs="Arial"/>
        </w:rPr>
        <w:t>, že</w:t>
      </w:r>
      <w:r w:rsidR="006E3E83">
        <w:rPr>
          <w:rFonts w:asciiTheme="minorHAnsi" w:hAnsiTheme="minorHAnsi" w:cs="Arial"/>
        </w:rPr>
        <w:t xml:space="preserve"> </w:t>
      </w:r>
      <w:r w:rsidR="00782CF6">
        <w:rPr>
          <w:rFonts w:asciiTheme="minorHAnsi" w:hAnsiTheme="minorHAnsi" w:cs="Arial"/>
        </w:rPr>
        <w:t>Teplice jsou ideální i</w:t>
      </w:r>
      <w:r w:rsidR="003D1BBF">
        <w:rPr>
          <w:rFonts w:asciiTheme="minorHAnsi" w:hAnsiTheme="minorHAnsi" w:cs="Arial"/>
        </w:rPr>
        <w:t xml:space="preserve"> díky </w:t>
      </w:r>
      <w:r w:rsidR="00782CF6">
        <w:rPr>
          <w:rFonts w:asciiTheme="minorHAnsi" w:hAnsiTheme="minorHAnsi" w:cs="Arial"/>
        </w:rPr>
        <w:t xml:space="preserve">geograficky příznivé poloze uprostřed pomyslné osy </w:t>
      </w:r>
      <w:r w:rsidR="00257045">
        <w:rPr>
          <w:rFonts w:asciiTheme="minorHAnsi" w:hAnsiTheme="minorHAnsi" w:cs="Arial"/>
        </w:rPr>
        <w:t>kraje</w:t>
      </w:r>
      <w:r w:rsidR="00986238">
        <w:rPr>
          <w:rFonts w:asciiTheme="minorHAnsi" w:hAnsiTheme="minorHAnsi" w:cs="Arial"/>
        </w:rPr>
        <w:t xml:space="preserve">, </w:t>
      </w:r>
      <w:r w:rsidR="006E3E83">
        <w:rPr>
          <w:rFonts w:asciiTheme="minorHAnsi" w:hAnsiTheme="minorHAnsi" w:cs="Arial"/>
        </w:rPr>
        <w:t>padla</w:t>
      </w:r>
      <w:r w:rsidR="001A63C4">
        <w:rPr>
          <w:rFonts w:asciiTheme="minorHAnsi" w:hAnsiTheme="minorHAnsi" w:cs="Arial"/>
        </w:rPr>
        <w:t xml:space="preserve"> volba právě na zdejší nemocnici. Jsme si vědomi, že toto zařízení přinese </w:t>
      </w:r>
      <w:r w:rsidR="00207D47">
        <w:rPr>
          <w:rFonts w:asciiTheme="minorHAnsi" w:hAnsiTheme="minorHAnsi" w:cs="Arial"/>
        </w:rPr>
        <w:t xml:space="preserve">i </w:t>
      </w:r>
      <w:r w:rsidR="001A63C4">
        <w:rPr>
          <w:rFonts w:asciiTheme="minorHAnsi" w:hAnsiTheme="minorHAnsi" w:cs="Arial"/>
        </w:rPr>
        <w:t>starosti a jeho provoz vysoké náklady. Na druhou stranu jde o zařízení, které všichni potřebujeme – obzvlášť nemocnice</w:t>
      </w:r>
      <w:r w:rsidR="00986238">
        <w:rPr>
          <w:rFonts w:asciiTheme="minorHAnsi" w:hAnsiTheme="minorHAnsi" w:cs="Arial"/>
        </w:rPr>
        <w:t>, protože d</w:t>
      </w:r>
      <w:r w:rsidR="001A63C4">
        <w:rPr>
          <w:rFonts w:asciiTheme="minorHAnsi" w:hAnsiTheme="minorHAnsi" w:cs="Arial"/>
        </w:rPr>
        <w:t>opos</w:t>
      </w:r>
      <w:r w:rsidR="00986238">
        <w:rPr>
          <w:rFonts w:asciiTheme="minorHAnsi" w:hAnsiTheme="minorHAnsi" w:cs="Arial"/>
        </w:rPr>
        <w:t>ud opilce a zdrogované</w:t>
      </w:r>
      <w:r w:rsidR="00257045">
        <w:rPr>
          <w:rFonts w:asciiTheme="minorHAnsi" w:hAnsiTheme="minorHAnsi" w:cs="Arial"/>
        </w:rPr>
        <w:t xml:space="preserve"> přiváže</w:t>
      </w:r>
      <w:r w:rsidR="001A63C4">
        <w:rPr>
          <w:rFonts w:asciiTheme="minorHAnsi" w:hAnsiTheme="minorHAnsi" w:cs="Arial"/>
        </w:rPr>
        <w:t xml:space="preserve">li na </w:t>
      </w:r>
      <w:proofErr w:type="spellStart"/>
      <w:r w:rsidR="001A63C4">
        <w:rPr>
          <w:rFonts w:asciiTheme="minorHAnsi" w:hAnsiTheme="minorHAnsi" w:cs="Arial"/>
        </w:rPr>
        <w:t>Emergency</w:t>
      </w:r>
      <w:proofErr w:type="spellEnd"/>
      <w:r w:rsidR="001A63C4">
        <w:rPr>
          <w:rFonts w:asciiTheme="minorHAnsi" w:hAnsiTheme="minorHAnsi" w:cs="Arial"/>
        </w:rPr>
        <w:t xml:space="preserve"> a příjmy v nemocnicích, což nesmírně zatěžovalo </w:t>
      </w:r>
      <w:r w:rsidR="00986238">
        <w:rPr>
          <w:rFonts w:asciiTheme="minorHAnsi" w:hAnsiTheme="minorHAnsi" w:cs="Arial"/>
        </w:rPr>
        <w:t xml:space="preserve">jejich provoz. Je nutné připomenout, že zřízení záchytné stanice financoval Ústecký kraj, za což mu patří poděkování,“ </w:t>
      </w:r>
      <w:r>
        <w:rPr>
          <w:rFonts w:asciiTheme="minorHAnsi" w:hAnsiTheme="minorHAnsi" w:cs="Arial"/>
        </w:rPr>
        <w:t>řekl</w:t>
      </w:r>
      <w:r w:rsidRPr="007A2A00">
        <w:rPr>
          <w:rFonts w:asciiTheme="minorHAnsi" w:hAnsiTheme="minorHAnsi" w:cs="Arial"/>
        </w:rPr>
        <w:t xml:space="preserve"> Ing. Jiří Novák</w:t>
      </w:r>
      <w:r>
        <w:rPr>
          <w:rFonts w:asciiTheme="minorHAnsi" w:hAnsiTheme="minorHAnsi" w:cs="Arial"/>
        </w:rPr>
        <w:t>, předseda předs</w:t>
      </w:r>
      <w:r w:rsidR="00986238">
        <w:rPr>
          <w:rFonts w:asciiTheme="minorHAnsi" w:hAnsiTheme="minorHAnsi" w:cs="Arial"/>
        </w:rPr>
        <w:t>tavenstva KZ. Dodal, že se zahájením provozu záchytné stanice Krajská zdravotní, a. s., počítá v polovině května.</w:t>
      </w:r>
      <w:r w:rsidR="00DD2621">
        <w:rPr>
          <w:rFonts w:asciiTheme="minorHAnsi" w:hAnsiTheme="minorHAnsi" w:cs="Arial"/>
        </w:rPr>
        <w:t xml:space="preserve"> </w:t>
      </w:r>
    </w:p>
    <w:p w:rsidR="00896762" w:rsidRDefault="00896762" w:rsidP="00896762">
      <w:pPr>
        <w:pStyle w:val="Bezmezer"/>
        <w:rPr>
          <w:rFonts w:asciiTheme="minorHAnsi" w:hAnsiTheme="minorHAnsi" w:cs="Arial"/>
        </w:rPr>
      </w:pPr>
    </w:p>
    <w:p w:rsidR="00896762" w:rsidRPr="00896762" w:rsidRDefault="00896762" w:rsidP="00896762">
      <w:pPr>
        <w:pStyle w:val="Bezmezer"/>
        <w:rPr>
          <w:rFonts w:asciiTheme="minorHAnsi" w:hAnsiTheme="minorHAnsi"/>
        </w:rPr>
      </w:pPr>
      <w:r w:rsidRPr="00896762">
        <w:rPr>
          <w:rFonts w:asciiTheme="minorHAnsi" w:hAnsiTheme="minorHAnsi"/>
        </w:rPr>
        <w:t>„</w:t>
      </w:r>
      <w:r w:rsidR="00986238" w:rsidRPr="00CE17F3">
        <w:rPr>
          <w:rFonts w:asciiTheme="minorHAnsi" w:hAnsiTheme="minorHAnsi" w:cs="Arial"/>
          <w:bCs/>
        </w:rPr>
        <w:t>P</w:t>
      </w:r>
      <w:r w:rsidR="00986238" w:rsidRPr="00CE17F3">
        <w:t xml:space="preserve">rotialkoholní a </w:t>
      </w:r>
      <w:proofErr w:type="spellStart"/>
      <w:r w:rsidR="00986238" w:rsidRPr="00CE17F3">
        <w:t>protitoxikomanická</w:t>
      </w:r>
      <w:proofErr w:type="spellEnd"/>
      <w:r w:rsidR="00986238" w:rsidRPr="00CE17F3">
        <w:t xml:space="preserve"> záchytná stanice je zařízení, </w:t>
      </w:r>
      <w:r w:rsidR="00CE17F3" w:rsidRPr="00CE17F3">
        <w:t>jehož umístění v řadě regionů řeší,</w:t>
      </w:r>
      <w:r w:rsidR="00DD2621" w:rsidRPr="00CE17F3">
        <w:rPr>
          <w:rFonts w:asciiTheme="minorHAnsi" w:hAnsiTheme="minorHAnsi"/>
        </w:rPr>
        <w:t xml:space="preserve"> </w:t>
      </w:r>
      <w:r w:rsidR="00DD2621">
        <w:rPr>
          <w:rFonts w:asciiTheme="minorHAnsi" w:hAnsiTheme="minorHAnsi"/>
        </w:rPr>
        <w:t>bojuje</w:t>
      </w:r>
      <w:r w:rsidR="00CE17F3">
        <w:rPr>
          <w:rFonts w:asciiTheme="minorHAnsi" w:hAnsiTheme="minorHAnsi"/>
        </w:rPr>
        <w:t xml:space="preserve"> se, kde by mělo a nemělo být… Není to zařízení profitní, ale většina argumentů, proč ho potřebujeme, je skutečně velmi důležitá. A pokud ho nemáme, zatěžujeme systém urgentní péče. Jsem rád, že jste šli touto – podle mého soudu – správnou cestou,“ </w:t>
      </w:r>
      <w:r w:rsidRPr="00896762">
        <w:rPr>
          <w:rFonts w:asciiTheme="minorHAnsi" w:hAnsiTheme="minorHAnsi"/>
        </w:rPr>
        <w:t xml:space="preserve">uvedl </w:t>
      </w:r>
      <w:r w:rsidRPr="00896762">
        <w:rPr>
          <w:rFonts w:cs="Calibri"/>
        </w:rPr>
        <w:t xml:space="preserve">prof. MUDr. Roman </w:t>
      </w:r>
      <w:proofErr w:type="spellStart"/>
      <w:r w:rsidRPr="00896762">
        <w:rPr>
          <w:rFonts w:cs="Calibri"/>
        </w:rPr>
        <w:t>Prymula</w:t>
      </w:r>
      <w:proofErr w:type="spellEnd"/>
      <w:r w:rsidRPr="00896762">
        <w:rPr>
          <w:rFonts w:cs="Calibri"/>
        </w:rPr>
        <w:t xml:space="preserve">, CSc., </w:t>
      </w:r>
      <w:r w:rsidR="00986238">
        <w:rPr>
          <w:rFonts w:cs="Calibri"/>
        </w:rPr>
        <w:t xml:space="preserve">Ph.D., </w:t>
      </w:r>
      <w:r w:rsidR="005F2E0B">
        <w:rPr>
          <w:rFonts w:asciiTheme="minorHAnsi" w:hAnsiTheme="minorHAnsi" w:cstheme="minorHAnsi"/>
        </w:rPr>
        <w:t>náměstek</w:t>
      </w:r>
      <w:r w:rsidRPr="00896762">
        <w:rPr>
          <w:rFonts w:asciiTheme="minorHAnsi" w:hAnsiTheme="minorHAnsi" w:cstheme="minorHAnsi"/>
        </w:rPr>
        <w:t xml:space="preserve"> ministra zdravotnictví ČR</w:t>
      </w:r>
      <w:r>
        <w:rPr>
          <w:rFonts w:asciiTheme="minorHAnsi" w:hAnsiTheme="minorHAnsi" w:cstheme="minorHAnsi"/>
        </w:rPr>
        <w:t xml:space="preserve">. </w:t>
      </w:r>
    </w:p>
    <w:p w:rsidR="00896762" w:rsidRDefault="00896762" w:rsidP="00D57EB0">
      <w:pPr>
        <w:pStyle w:val="Bezmezer"/>
        <w:rPr>
          <w:rFonts w:cs="Calibri"/>
        </w:rPr>
      </w:pPr>
    </w:p>
    <w:p w:rsidR="00DB1566" w:rsidRPr="009733E4" w:rsidRDefault="00DB1566" w:rsidP="00DB156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33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Podrobnou prezentaci investičních akcí v teplické nemocnici přítomným zprostředkoval Ing. Petr Fiala, generální ředitel KZ. </w:t>
      </w:r>
      <w:r w:rsidRPr="009733E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Prezentace je přílohou této tiskové zprávy.</w:t>
      </w:r>
    </w:p>
    <w:p w:rsidR="00DB1566" w:rsidRDefault="00DB1566" w:rsidP="00DB1566">
      <w:pPr>
        <w:rPr>
          <w:b/>
          <w:i/>
        </w:rPr>
      </w:pPr>
    </w:p>
    <w:p w:rsidR="00D57EB0" w:rsidRPr="00D57EB0" w:rsidRDefault="000138C9" w:rsidP="00D57EB0">
      <w:pPr>
        <w:pStyle w:val="Bezmezer"/>
        <w:rPr>
          <w:rFonts w:cs="Calibri"/>
        </w:rPr>
      </w:pPr>
      <w:r w:rsidRPr="00D57EB0">
        <w:rPr>
          <w:rFonts w:cs="Calibri"/>
        </w:rPr>
        <w:t xml:space="preserve">MUDr. Tomáš Hrubý, ředitel zdravotní péče </w:t>
      </w:r>
      <w:r w:rsidR="00D739D2" w:rsidRPr="00D57EB0">
        <w:rPr>
          <w:rFonts w:cs="Calibri"/>
        </w:rPr>
        <w:t>Nemocnice Teplice, o. z.</w:t>
      </w:r>
      <w:r w:rsidR="00D57EB0" w:rsidRPr="00D57EB0">
        <w:rPr>
          <w:rFonts w:cs="Calibri"/>
        </w:rPr>
        <w:t xml:space="preserve">, poté provedl </w:t>
      </w:r>
      <w:r w:rsidR="005F2E0B">
        <w:rPr>
          <w:rFonts w:cs="Calibri"/>
        </w:rPr>
        <w:t>účastníky akce</w:t>
      </w:r>
      <w:r w:rsidR="00D57EB0" w:rsidRPr="00D57EB0">
        <w:rPr>
          <w:rFonts w:cs="Calibri"/>
        </w:rPr>
        <w:t xml:space="preserve"> prostory</w:t>
      </w:r>
      <w:r w:rsidR="00C70260">
        <w:rPr>
          <w:rFonts w:cs="Calibri"/>
        </w:rPr>
        <w:t xml:space="preserve"> záchytné stanice a také</w:t>
      </w:r>
      <w:r w:rsidR="00D57EB0" w:rsidRPr="00D57EB0">
        <w:rPr>
          <w:rFonts w:cs="Calibri"/>
        </w:rPr>
        <w:t xml:space="preserve"> </w:t>
      </w:r>
      <w:r w:rsidR="00D57EB0" w:rsidRPr="00D57EB0">
        <w:rPr>
          <w:rFonts w:cs="Calibri"/>
          <w:bCs/>
          <w:iCs/>
        </w:rPr>
        <w:t>urgentního příjmu</w:t>
      </w:r>
      <w:r w:rsidR="005F2E0B">
        <w:rPr>
          <w:rFonts w:cs="Calibri"/>
          <w:bCs/>
          <w:iCs/>
        </w:rPr>
        <w:t xml:space="preserve">, </w:t>
      </w:r>
      <w:r w:rsidR="005F2E0B">
        <w:rPr>
          <w:rFonts w:cs="Calibri"/>
        </w:rPr>
        <w:t>uvedeného do provozu loni v listopadu,</w:t>
      </w:r>
      <w:r w:rsidR="00D57EB0" w:rsidRPr="00D57EB0">
        <w:rPr>
          <w:rFonts w:cs="Calibri"/>
          <w:bCs/>
          <w:iCs/>
        </w:rPr>
        <w:t xml:space="preserve"> a </w:t>
      </w:r>
      <w:r w:rsidR="00207D47">
        <w:rPr>
          <w:rFonts w:cs="Calibri"/>
          <w:bCs/>
          <w:iCs/>
        </w:rPr>
        <w:t xml:space="preserve">probíhající </w:t>
      </w:r>
      <w:r w:rsidR="00D57EB0" w:rsidRPr="00D57EB0">
        <w:rPr>
          <w:rFonts w:cs="Calibri"/>
          <w:bCs/>
          <w:iCs/>
        </w:rPr>
        <w:t>stavbou zcela nového pavilonu pro centrální</w:t>
      </w:r>
      <w:r w:rsidR="00D57EB0" w:rsidRPr="00D57EB0">
        <w:rPr>
          <w:rFonts w:cs="Calibri"/>
        </w:rPr>
        <w:t xml:space="preserve"> </w:t>
      </w:r>
      <w:r w:rsidR="00D57EB0" w:rsidRPr="00D57EB0">
        <w:rPr>
          <w:rFonts w:cs="Calibri"/>
          <w:bCs/>
          <w:iCs/>
        </w:rPr>
        <w:t xml:space="preserve">operační sály a centrální sterilizaci, který bude dokončen v letošním roce. </w:t>
      </w:r>
      <w:r w:rsidR="00D57EB0" w:rsidRPr="00D57EB0">
        <w:rPr>
          <w:rFonts w:cs="Calibri"/>
          <w:bCs/>
          <w:i/>
          <w:iCs/>
        </w:rPr>
        <w:br/>
      </w:r>
    </w:p>
    <w:p w:rsidR="00D57EB0" w:rsidRPr="00D57EB0" w:rsidRDefault="00D57EB0" w:rsidP="00D57EB0">
      <w:pPr>
        <w:pStyle w:val="Bezmezer"/>
        <w:rPr>
          <w:rFonts w:asciiTheme="minorHAnsi" w:hAnsiTheme="minorHAnsi"/>
          <w:b/>
        </w:rPr>
      </w:pPr>
    </w:p>
    <w:p w:rsidR="00D739D2" w:rsidRPr="00896762" w:rsidRDefault="005F2E0B" w:rsidP="00C87605">
      <w:pPr>
        <w:pStyle w:val="Bezmezer"/>
        <w:rPr>
          <w:rStyle w:val="Siln"/>
          <w:rFonts w:asciiTheme="minorHAnsi" w:hAnsiTheme="minorHAnsi" w:cs="Arial"/>
          <w:i/>
          <w:u w:val="single"/>
        </w:rPr>
      </w:pPr>
      <w:r>
        <w:rPr>
          <w:rStyle w:val="Siln"/>
          <w:rFonts w:asciiTheme="minorHAnsi" w:hAnsiTheme="minorHAnsi" w:cs="Arial"/>
          <w:i/>
          <w:u w:val="single"/>
        </w:rPr>
        <w:t xml:space="preserve">O </w:t>
      </w:r>
      <w:r w:rsidR="00D739D2" w:rsidRPr="00896762">
        <w:rPr>
          <w:rStyle w:val="Siln"/>
          <w:rFonts w:asciiTheme="minorHAnsi" w:hAnsiTheme="minorHAnsi" w:cs="Arial"/>
          <w:i/>
          <w:u w:val="single"/>
        </w:rPr>
        <w:t>vybudování</w:t>
      </w:r>
      <w:r w:rsidR="00896762" w:rsidRPr="00896762">
        <w:rPr>
          <w:rStyle w:val="Siln"/>
          <w:rFonts w:asciiTheme="minorHAnsi" w:hAnsiTheme="minorHAnsi" w:cs="Arial"/>
          <w:i/>
          <w:u w:val="single"/>
        </w:rPr>
        <w:t xml:space="preserve"> </w:t>
      </w:r>
      <w:r w:rsidR="00896762" w:rsidRPr="00896762">
        <w:rPr>
          <w:rFonts w:asciiTheme="minorHAnsi" w:hAnsiTheme="minorHAnsi" w:cs="Arial"/>
          <w:b/>
          <w:bCs/>
          <w:i/>
          <w:u w:val="single"/>
        </w:rPr>
        <w:t>p</w:t>
      </w:r>
      <w:r w:rsidR="00896762" w:rsidRPr="00896762">
        <w:rPr>
          <w:b/>
          <w:i/>
          <w:u w:val="single"/>
        </w:rPr>
        <w:t xml:space="preserve">rotialkoholní a </w:t>
      </w:r>
      <w:proofErr w:type="spellStart"/>
      <w:r w:rsidR="00896762" w:rsidRPr="00896762">
        <w:rPr>
          <w:b/>
          <w:i/>
          <w:u w:val="single"/>
        </w:rPr>
        <w:t>protitoxikomanické</w:t>
      </w:r>
      <w:proofErr w:type="spellEnd"/>
      <w:r w:rsidR="00896762" w:rsidRPr="00896762">
        <w:rPr>
          <w:b/>
          <w:i/>
          <w:u w:val="single"/>
        </w:rPr>
        <w:t xml:space="preserve"> záchytné stanice:</w:t>
      </w:r>
    </w:p>
    <w:p w:rsidR="00461CA5" w:rsidRPr="00896762" w:rsidRDefault="00461CA5" w:rsidP="00C87605">
      <w:pPr>
        <w:pStyle w:val="Bezmezer"/>
        <w:rPr>
          <w:rStyle w:val="Siln"/>
          <w:rFonts w:asciiTheme="minorHAnsi" w:hAnsiTheme="minorHAnsi" w:cs="Arial"/>
          <w:i/>
        </w:rPr>
      </w:pPr>
    </w:p>
    <w:p w:rsidR="00461CA5" w:rsidRPr="00896762" w:rsidRDefault="00461CA5" w:rsidP="00461CA5">
      <w:pPr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896762">
        <w:rPr>
          <w:rFonts w:asciiTheme="minorHAnsi" w:hAnsiTheme="minorHAnsi"/>
          <w:i/>
          <w:sz w:val="22"/>
          <w:szCs w:val="22"/>
        </w:rPr>
        <w:t xml:space="preserve">Od roku 2001, poté, co došlo k ukončení provozu poslední stanice v regionu, která do té doby fungovala v Bílině, není v Ústeckém kraji provozována protialkoholní záchytná stanice. V souvislosti s platností zákona č. 65/2017 Sb., o ochraně zdraví před škodlivými účinky návykových látek Ústecký kraj podmíněně deklaroval záměr vyhlásit výběrové řízení na tento druh péče. Krajská zdravotní, a. s., jako dominantní poskytovatel zdravotní péče v Ústeckém kraji byla s touto výzvou konfrontována. </w:t>
      </w:r>
    </w:p>
    <w:p w:rsidR="00461CA5" w:rsidRPr="00896762" w:rsidRDefault="00461CA5" w:rsidP="00461CA5">
      <w:pPr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461CA5" w:rsidRPr="00896762" w:rsidRDefault="00461CA5" w:rsidP="00461CA5">
      <w:pPr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896762">
        <w:rPr>
          <w:rFonts w:asciiTheme="minorHAnsi" w:hAnsiTheme="minorHAnsi"/>
          <w:i/>
          <w:sz w:val="22"/>
          <w:szCs w:val="22"/>
        </w:rPr>
        <w:t xml:space="preserve">Na základě této informace a na základě výsledku jednání hejtmana Ústeckého kraje Oldřicha Bubeníčka s předsedou představenstva Krajské zdravotní, a. s., Ing. Jiřím Novákem a generálním ředitelem Krajské </w:t>
      </w:r>
      <w:r w:rsidRPr="00896762">
        <w:rPr>
          <w:rFonts w:asciiTheme="minorHAnsi" w:hAnsiTheme="minorHAnsi"/>
          <w:i/>
          <w:sz w:val="22"/>
          <w:szCs w:val="22"/>
        </w:rPr>
        <w:lastRenderedPageBreak/>
        <w:t xml:space="preserve">zdravotní, a. s., Ing. Petrem Fialou, představenstvo Krajské zdravotní, a. s., na svém jednání dne 29. listopadu 2017 rozhodlo o realizaci záměru zřízení Protialkoholní a </w:t>
      </w:r>
      <w:proofErr w:type="spellStart"/>
      <w:r w:rsidRPr="00896762">
        <w:rPr>
          <w:rFonts w:asciiTheme="minorHAnsi" w:hAnsiTheme="minorHAnsi"/>
          <w:i/>
          <w:sz w:val="22"/>
          <w:szCs w:val="22"/>
        </w:rPr>
        <w:t>protitoxikomanické</w:t>
      </w:r>
      <w:proofErr w:type="spellEnd"/>
      <w:r w:rsidRPr="00896762">
        <w:rPr>
          <w:rFonts w:asciiTheme="minorHAnsi" w:hAnsiTheme="minorHAnsi"/>
          <w:i/>
          <w:sz w:val="22"/>
          <w:szCs w:val="22"/>
        </w:rPr>
        <w:t xml:space="preserve"> záchytné stanice (dále jen PZS) v Krajské zdravotní, a. s. Pro realizaci prioritního záměru bylo  vytipováno umístění v Nemocnici Teplice, o. z., pavilonu C, v 1. nadzemní</w:t>
      </w:r>
      <w:r w:rsidR="00207D47">
        <w:rPr>
          <w:rFonts w:asciiTheme="minorHAnsi" w:hAnsiTheme="minorHAnsi"/>
          <w:i/>
          <w:sz w:val="22"/>
          <w:szCs w:val="22"/>
        </w:rPr>
        <w:t>m</w:t>
      </w:r>
      <w:r w:rsidRPr="00896762">
        <w:rPr>
          <w:rFonts w:asciiTheme="minorHAnsi" w:hAnsiTheme="minorHAnsi"/>
          <w:i/>
          <w:sz w:val="22"/>
          <w:szCs w:val="22"/>
        </w:rPr>
        <w:t xml:space="preserve"> podlaží budovy polikliniky,  prostor</w:t>
      </w:r>
      <w:r w:rsidR="00207D47">
        <w:rPr>
          <w:rFonts w:asciiTheme="minorHAnsi" w:hAnsiTheme="minorHAnsi"/>
          <w:i/>
          <w:sz w:val="22"/>
          <w:szCs w:val="22"/>
        </w:rPr>
        <w:t>u</w:t>
      </w:r>
      <w:r w:rsidRPr="00896762">
        <w:rPr>
          <w:rFonts w:asciiTheme="minorHAnsi" w:hAnsiTheme="minorHAnsi"/>
          <w:i/>
          <w:sz w:val="22"/>
          <w:szCs w:val="22"/>
        </w:rPr>
        <w:t xml:space="preserve"> náhradní stanice, jenž byl využíván jako náhradní pracoviště pro případ rekonstrukcí oddělení, malování apod. </w:t>
      </w:r>
    </w:p>
    <w:p w:rsidR="00461CA5" w:rsidRPr="00896762" w:rsidRDefault="00461CA5" w:rsidP="00461CA5">
      <w:pPr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461CA5" w:rsidRPr="00896762" w:rsidRDefault="00461CA5" w:rsidP="00461CA5">
      <w:pPr>
        <w:autoSpaceDE w:val="0"/>
        <w:autoSpaceDN w:val="0"/>
        <w:rPr>
          <w:rFonts w:asciiTheme="minorHAnsi" w:hAnsiTheme="minorHAnsi"/>
          <w:i/>
          <w:sz w:val="22"/>
          <w:szCs w:val="22"/>
        </w:rPr>
      </w:pPr>
      <w:r w:rsidRPr="00896762">
        <w:rPr>
          <w:rFonts w:asciiTheme="minorHAnsi" w:hAnsiTheme="minorHAnsi"/>
          <w:i/>
          <w:sz w:val="22"/>
          <w:szCs w:val="22"/>
        </w:rPr>
        <w:t xml:space="preserve">• Zhotovitel: </w:t>
      </w:r>
      <w:proofErr w:type="spellStart"/>
      <w:r w:rsidRPr="00896762">
        <w:rPr>
          <w:rFonts w:asciiTheme="minorHAnsi" w:hAnsiTheme="minorHAnsi"/>
          <w:b/>
          <w:i/>
          <w:sz w:val="22"/>
          <w:szCs w:val="22"/>
        </w:rPr>
        <w:t>Metall</w:t>
      </w:r>
      <w:proofErr w:type="spellEnd"/>
      <w:r w:rsidRPr="00896762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896762">
        <w:rPr>
          <w:rFonts w:asciiTheme="minorHAnsi" w:hAnsiTheme="minorHAnsi"/>
          <w:b/>
          <w:i/>
          <w:sz w:val="22"/>
          <w:szCs w:val="22"/>
        </w:rPr>
        <w:t>Quatro</w:t>
      </w:r>
      <w:proofErr w:type="spellEnd"/>
      <w:r w:rsidRPr="00896762">
        <w:rPr>
          <w:rFonts w:asciiTheme="minorHAnsi" w:hAnsiTheme="minorHAnsi"/>
          <w:b/>
          <w:i/>
          <w:sz w:val="22"/>
          <w:szCs w:val="22"/>
        </w:rPr>
        <w:t>, s.r.o.</w:t>
      </w:r>
    </w:p>
    <w:p w:rsidR="00461CA5" w:rsidRPr="00896762" w:rsidRDefault="00461CA5" w:rsidP="00461CA5">
      <w:pPr>
        <w:autoSpaceDE w:val="0"/>
        <w:autoSpaceDN w:val="0"/>
        <w:rPr>
          <w:rFonts w:asciiTheme="minorHAnsi" w:hAnsiTheme="minorHAnsi"/>
          <w:i/>
          <w:sz w:val="22"/>
          <w:szCs w:val="22"/>
        </w:rPr>
      </w:pPr>
      <w:r w:rsidRPr="00896762">
        <w:rPr>
          <w:rFonts w:asciiTheme="minorHAnsi" w:hAnsiTheme="minorHAnsi"/>
          <w:i/>
          <w:sz w:val="22"/>
          <w:szCs w:val="22"/>
        </w:rPr>
        <w:t xml:space="preserve">• Zahájení stavebních prací: </w:t>
      </w:r>
      <w:r w:rsidRPr="00896762">
        <w:rPr>
          <w:rFonts w:asciiTheme="minorHAnsi" w:hAnsiTheme="minorHAnsi"/>
          <w:b/>
          <w:i/>
          <w:sz w:val="22"/>
          <w:szCs w:val="22"/>
        </w:rPr>
        <w:t>29. 10. 2018</w:t>
      </w:r>
    </w:p>
    <w:p w:rsidR="00461CA5" w:rsidRPr="00896762" w:rsidRDefault="00461CA5" w:rsidP="00461CA5">
      <w:pPr>
        <w:rPr>
          <w:rFonts w:asciiTheme="minorHAnsi" w:hAnsiTheme="minorHAnsi"/>
          <w:i/>
          <w:sz w:val="22"/>
          <w:szCs w:val="22"/>
        </w:rPr>
      </w:pPr>
      <w:r w:rsidRPr="00896762">
        <w:rPr>
          <w:rFonts w:asciiTheme="minorHAnsi" w:hAnsiTheme="minorHAnsi"/>
          <w:i/>
          <w:sz w:val="22"/>
          <w:szCs w:val="22"/>
        </w:rPr>
        <w:t xml:space="preserve">• Dokončení stavebních prací: </w:t>
      </w:r>
      <w:r w:rsidRPr="00896762">
        <w:rPr>
          <w:rFonts w:asciiTheme="minorHAnsi" w:hAnsiTheme="minorHAnsi"/>
          <w:b/>
          <w:i/>
          <w:sz w:val="22"/>
          <w:szCs w:val="22"/>
        </w:rPr>
        <w:t>15. 4. 2019</w:t>
      </w:r>
      <w:r w:rsidRPr="00896762">
        <w:rPr>
          <w:rFonts w:asciiTheme="minorHAnsi" w:hAnsiTheme="minorHAnsi"/>
          <w:i/>
          <w:sz w:val="22"/>
          <w:szCs w:val="22"/>
        </w:rPr>
        <w:t xml:space="preserve"> </w:t>
      </w:r>
    </w:p>
    <w:p w:rsidR="00461CA5" w:rsidRPr="00896762" w:rsidRDefault="00461CA5" w:rsidP="00461CA5">
      <w:pPr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461CA5" w:rsidRPr="00896762" w:rsidRDefault="00461CA5" w:rsidP="00461CA5">
      <w:pPr>
        <w:rPr>
          <w:rFonts w:asciiTheme="minorHAnsi" w:hAnsiTheme="minorHAnsi"/>
          <w:b/>
          <w:bCs/>
          <w:i/>
          <w:sz w:val="22"/>
          <w:szCs w:val="22"/>
        </w:rPr>
      </w:pPr>
      <w:r w:rsidRPr="00896762">
        <w:rPr>
          <w:rFonts w:asciiTheme="minorHAnsi" w:hAnsiTheme="minorHAnsi"/>
          <w:b/>
          <w:i/>
          <w:sz w:val="22"/>
          <w:szCs w:val="22"/>
        </w:rPr>
        <w:t xml:space="preserve">Celkové náklady na stavební práce činí </w:t>
      </w:r>
      <w:r w:rsidRPr="00896762">
        <w:rPr>
          <w:rFonts w:asciiTheme="minorHAnsi" w:hAnsiTheme="minorHAnsi"/>
          <w:b/>
          <w:bCs/>
          <w:i/>
          <w:sz w:val="22"/>
          <w:szCs w:val="22"/>
        </w:rPr>
        <w:t>18 100 172,30 Kč včetně DPH.</w:t>
      </w:r>
    </w:p>
    <w:p w:rsidR="00461CA5" w:rsidRPr="00896762" w:rsidRDefault="00461CA5" w:rsidP="00461CA5">
      <w:pPr>
        <w:rPr>
          <w:rFonts w:asciiTheme="minorHAnsi" w:hAnsiTheme="minorHAnsi"/>
          <w:i/>
          <w:sz w:val="22"/>
          <w:szCs w:val="22"/>
        </w:rPr>
      </w:pPr>
    </w:p>
    <w:p w:rsidR="00461CA5" w:rsidRPr="00896762" w:rsidRDefault="00461CA5" w:rsidP="00461CA5">
      <w:pPr>
        <w:rPr>
          <w:rFonts w:asciiTheme="minorHAnsi" w:hAnsiTheme="minorHAnsi"/>
          <w:i/>
          <w:sz w:val="22"/>
          <w:szCs w:val="22"/>
        </w:rPr>
      </w:pPr>
      <w:r w:rsidRPr="00896762">
        <w:rPr>
          <w:rFonts w:asciiTheme="minorHAnsi" w:hAnsiTheme="minorHAnsi"/>
          <w:i/>
          <w:sz w:val="22"/>
          <w:szCs w:val="22"/>
        </w:rPr>
        <w:t xml:space="preserve">Tato částka obsahuje i přibližně 1,27 milionu Kč vč. DPH za vybavení interiéru (kuchyňské linky, skříně na léčivé přípravky, vyšetřovací lůžko, sprchovací lůžko a křeslo, křesla pro pacienty a </w:t>
      </w:r>
      <w:proofErr w:type="spellStart"/>
      <w:r w:rsidRPr="00896762">
        <w:rPr>
          <w:rFonts w:asciiTheme="minorHAnsi" w:hAnsiTheme="minorHAnsi"/>
          <w:i/>
          <w:sz w:val="22"/>
          <w:szCs w:val="22"/>
        </w:rPr>
        <w:t>macerátor</w:t>
      </w:r>
      <w:proofErr w:type="spellEnd"/>
      <w:r w:rsidRPr="00896762">
        <w:rPr>
          <w:rFonts w:asciiTheme="minorHAnsi" w:hAnsiTheme="minorHAnsi"/>
          <w:i/>
          <w:sz w:val="22"/>
          <w:szCs w:val="22"/>
        </w:rPr>
        <w:t>).</w:t>
      </w:r>
    </w:p>
    <w:p w:rsidR="00461CA5" w:rsidRPr="00896762" w:rsidRDefault="00461CA5" w:rsidP="00461CA5">
      <w:pPr>
        <w:rPr>
          <w:rFonts w:asciiTheme="minorHAnsi" w:hAnsiTheme="minorHAnsi"/>
          <w:i/>
          <w:sz w:val="22"/>
          <w:szCs w:val="22"/>
        </w:rPr>
      </w:pPr>
    </w:p>
    <w:p w:rsidR="00461CA5" w:rsidRPr="00896762" w:rsidRDefault="00461CA5" w:rsidP="00461CA5">
      <w:pPr>
        <w:rPr>
          <w:rFonts w:asciiTheme="minorHAnsi" w:hAnsiTheme="minorHAnsi"/>
          <w:i/>
          <w:sz w:val="22"/>
          <w:szCs w:val="22"/>
        </w:rPr>
      </w:pPr>
      <w:r w:rsidRPr="00896762">
        <w:rPr>
          <w:rFonts w:asciiTheme="minorHAnsi" w:hAnsiTheme="minorHAnsi"/>
          <w:b/>
          <w:i/>
          <w:sz w:val="22"/>
          <w:szCs w:val="22"/>
        </w:rPr>
        <w:t>Za vybavení zdravotnickou technikou Krajská zdravotní, a. s.</w:t>
      </w:r>
      <w:r w:rsidRPr="00896762">
        <w:rPr>
          <w:rFonts w:asciiTheme="minorHAnsi" w:hAnsiTheme="minorHAnsi"/>
          <w:i/>
          <w:sz w:val="22"/>
          <w:szCs w:val="22"/>
        </w:rPr>
        <w:t xml:space="preserve">, bez započítání té, která je součástí stavby (viz předcházející odstavec), dosud </w:t>
      </w:r>
      <w:r w:rsidRPr="00896762">
        <w:rPr>
          <w:rFonts w:asciiTheme="minorHAnsi" w:hAnsiTheme="minorHAnsi"/>
          <w:b/>
          <w:i/>
          <w:sz w:val="22"/>
          <w:szCs w:val="22"/>
        </w:rPr>
        <w:t>vynaložila 291 965,28 Kč včetně DPH</w:t>
      </w:r>
      <w:r w:rsidRPr="00896762">
        <w:rPr>
          <w:rFonts w:asciiTheme="minorHAnsi" w:hAnsiTheme="minorHAnsi"/>
          <w:i/>
          <w:sz w:val="22"/>
          <w:szCs w:val="22"/>
        </w:rPr>
        <w:t xml:space="preserve">. </w:t>
      </w:r>
    </w:p>
    <w:p w:rsidR="00461CA5" w:rsidRPr="00896762" w:rsidRDefault="00461CA5" w:rsidP="00461CA5">
      <w:pPr>
        <w:rPr>
          <w:rFonts w:asciiTheme="minorHAnsi" w:hAnsiTheme="minorHAnsi"/>
          <w:i/>
          <w:sz w:val="22"/>
          <w:szCs w:val="22"/>
        </w:rPr>
      </w:pPr>
    </w:p>
    <w:p w:rsidR="00461CA5" w:rsidRPr="00896762" w:rsidRDefault="00461CA5" w:rsidP="00461CA5">
      <w:pPr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896762">
        <w:rPr>
          <w:rFonts w:asciiTheme="minorHAnsi" w:hAnsiTheme="minorHAnsi"/>
          <w:b/>
          <w:i/>
          <w:sz w:val="22"/>
          <w:szCs w:val="22"/>
        </w:rPr>
        <w:t>Od Ústeckého kraje Krajská zdravotní, a. s., obdržela investiční dotaci ve výši 17,83  milionu Kč</w:t>
      </w:r>
      <w:r w:rsidR="00DB1566">
        <w:rPr>
          <w:rFonts w:asciiTheme="minorHAnsi" w:hAnsiTheme="minorHAnsi"/>
          <w:i/>
          <w:sz w:val="22"/>
          <w:szCs w:val="22"/>
        </w:rPr>
        <w:t>, v roce 2019 předpokládá</w:t>
      </w:r>
      <w:r w:rsidRPr="00896762">
        <w:rPr>
          <w:rFonts w:asciiTheme="minorHAnsi" w:hAnsiTheme="minorHAnsi"/>
          <w:i/>
          <w:sz w:val="22"/>
          <w:szCs w:val="22"/>
        </w:rPr>
        <w:t xml:space="preserve"> neinvestiční dotaci na vybavení drobným dlouhodobým hmotným majetkem, zejména zdravotnické techniky, ve výši přibližně 610 tisíc Kč.</w:t>
      </w:r>
    </w:p>
    <w:p w:rsidR="00461CA5" w:rsidRPr="00896762" w:rsidRDefault="00461CA5" w:rsidP="00461CA5">
      <w:pPr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461CA5" w:rsidRDefault="00461CA5" w:rsidP="00461CA5">
      <w:pPr>
        <w:shd w:val="clear" w:color="auto" w:fill="FFFFFF"/>
        <w:spacing w:after="150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896762">
        <w:rPr>
          <w:rFonts w:asciiTheme="minorHAnsi" w:hAnsiTheme="minorHAnsi"/>
          <w:bCs/>
          <w:i/>
          <w:iCs/>
          <w:sz w:val="22"/>
          <w:szCs w:val="22"/>
          <w:lang w:eastAsia="en-US"/>
        </w:rPr>
        <w:t>Kapacita</w:t>
      </w:r>
      <w:r w:rsidRPr="00896762">
        <w:rPr>
          <w:rFonts w:asciiTheme="minorHAnsi" w:hAnsiTheme="minorHAnsi"/>
          <w:i/>
          <w:sz w:val="22"/>
          <w:szCs w:val="22"/>
          <w:lang w:eastAsia="en-US"/>
        </w:rPr>
        <w:t xml:space="preserve"> </w:t>
      </w:r>
      <w:r w:rsidRPr="00896762">
        <w:rPr>
          <w:rFonts w:asciiTheme="minorHAnsi" w:hAnsiTheme="minorHAnsi"/>
          <w:bCs/>
          <w:i/>
          <w:iCs/>
          <w:sz w:val="22"/>
          <w:szCs w:val="22"/>
        </w:rPr>
        <w:t xml:space="preserve">záchytné protialkoholní a </w:t>
      </w:r>
      <w:proofErr w:type="spellStart"/>
      <w:r w:rsidRPr="00896762">
        <w:rPr>
          <w:rFonts w:asciiTheme="minorHAnsi" w:hAnsiTheme="minorHAnsi"/>
          <w:bCs/>
          <w:i/>
          <w:iCs/>
          <w:sz w:val="22"/>
          <w:szCs w:val="22"/>
        </w:rPr>
        <w:t>protitoxikomanické</w:t>
      </w:r>
      <w:proofErr w:type="spellEnd"/>
      <w:r w:rsidRPr="00896762">
        <w:rPr>
          <w:rFonts w:asciiTheme="minorHAnsi" w:hAnsiTheme="minorHAnsi"/>
          <w:bCs/>
          <w:i/>
          <w:iCs/>
          <w:sz w:val="22"/>
          <w:szCs w:val="22"/>
        </w:rPr>
        <w:t xml:space="preserve"> stanice v Teplicích je 10 lůžek. Stabilně zde budou působit dva lékaři a dvě sestry, dalšími kmenovými i externími zaměstnanci zajistí Krajská zdravotní, a. s. - Nemocnice Teplice, o. z., služby tak, aby byl pokryt nepřetržitý provoz stanice. Roční náklady na provoz jsou počítány 22 milionů Kč.</w:t>
      </w:r>
    </w:p>
    <w:p w:rsidR="00782CF6" w:rsidRPr="00782CF6" w:rsidRDefault="00782CF6" w:rsidP="00782CF6">
      <w:pPr>
        <w:rPr>
          <w:rFonts w:asciiTheme="minorHAnsi" w:hAnsiTheme="minorHAnsi"/>
          <w:i/>
          <w:sz w:val="22"/>
          <w:szCs w:val="22"/>
        </w:rPr>
      </w:pPr>
      <w:r w:rsidRPr="00782CF6">
        <w:rPr>
          <w:rFonts w:asciiTheme="minorHAnsi" w:hAnsiTheme="minorHAnsi"/>
          <w:i/>
          <w:sz w:val="22"/>
          <w:szCs w:val="22"/>
        </w:rPr>
        <w:t xml:space="preserve">Částka za pobyt na </w:t>
      </w:r>
      <w:r w:rsidRPr="00782CF6">
        <w:rPr>
          <w:rFonts w:asciiTheme="minorHAnsi" w:hAnsiTheme="minorHAnsi" w:cs="Arial"/>
          <w:bCs/>
          <w:i/>
          <w:sz w:val="22"/>
          <w:szCs w:val="22"/>
        </w:rPr>
        <w:t>p</w:t>
      </w:r>
      <w:r w:rsidRPr="00782CF6">
        <w:rPr>
          <w:rFonts w:asciiTheme="minorHAnsi" w:hAnsiTheme="minorHAnsi"/>
          <w:i/>
          <w:sz w:val="22"/>
          <w:szCs w:val="22"/>
        </w:rPr>
        <w:t xml:space="preserve">rotialkoholní a </w:t>
      </w:r>
      <w:proofErr w:type="spellStart"/>
      <w:r w:rsidRPr="00782CF6">
        <w:rPr>
          <w:rFonts w:asciiTheme="minorHAnsi" w:hAnsiTheme="minorHAnsi"/>
          <w:i/>
          <w:sz w:val="22"/>
          <w:szCs w:val="22"/>
        </w:rPr>
        <w:t>protitoxikomanické</w:t>
      </w:r>
      <w:proofErr w:type="spellEnd"/>
      <w:r w:rsidRPr="00782CF6">
        <w:rPr>
          <w:rFonts w:asciiTheme="minorHAnsi" w:hAnsiTheme="minorHAnsi"/>
          <w:i/>
          <w:sz w:val="22"/>
          <w:szCs w:val="22"/>
        </w:rPr>
        <w:t xml:space="preserve"> záchytné stanice byla stanovena ve výši 3000 Kč, a to s ohledem na charakter této veřejné služby a s přihlédnutím k poplatkům, které jsou vybírány v obdobných zařízeních v ČR. Poplatek slouží ke krytí nákladů na zajištění této nepřetržité služby, tedy vlastní provoz záchytné stanice, přičemž nejvýznamnější nákladovou položkou jsou osobní náklady.</w:t>
      </w:r>
    </w:p>
    <w:p w:rsidR="00461CA5" w:rsidRPr="007A2A00" w:rsidRDefault="00461CA5" w:rsidP="00C87605">
      <w:pPr>
        <w:pStyle w:val="Bezmezer"/>
        <w:rPr>
          <w:rStyle w:val="Siln"/>
          <w:rFonts w:asciiTheme="minorHAnsi" w:hAnsiTheme="minorHAnsi" w:cs="Arial"/>
        </w:rPr>
      </w:pPr>
    </w:p>
    <w:p w:rsidR="00C87605" w:rsidRPr="007A2A00" w:rsidRDefault="00C87605" w:rsidP="00C87605">
      <w:pPr>
        <w:pStyle w:val="Bezmezer"/>
        <w:rPr>
          <w:rStyle w:val="Siln"/>
          <w:rFonts w:asciiTheme="minorHAnsi" w:hAnsiTheme="minorHAnsi" w:cs="Arial"/>
        </w:rPr>
      </w:pPr>
    </w:p>
    <w:p w:rsidR="00C87605" w:rsidRPr="007A2A00" w:rsidRDefault="00C87605" w:rsidP="00C87605">
      <w:pPr>
        <w:pStyle w:val="Bezmezer"/>
        <w:rPr>
          <w:rStyle w:val="Hypertextovodkaz"/>
          <w:rFonts w:asciiTheme="minorHAnsi" w:hAnsiTheme="minorHAnsi"/>
        </w:rPr>
      </w:pPr>
      <w:r w:rsidRPr="007A2A00">
        <w:rPr>
          <w:rFonts w:asciiTheme="minorHAnsi" w:hAnsiTheme="minorHAnsi"/>
        </w:rPr>
        <w:t>Fotografie z akce naleznete na </w:t>
      </w:r>
      <w:hyperlink r:id="rId7" w:history="1">
        <w:r w:rsidRPr="007A2A00">
          <w:rPr>
            <w:rStyle w:val="Hypertextovodkaz"/>
            <w:rFonts w:asciiTheme="minorHAnsi" w:hAnsiTheme="minorHAnsi"/>
            <w:b/>
          </w:rPr>
          <w:t>http://www.kzcr.eu/</w:t>
        </w:r>
      </w:hyperlink>
      <w:r w:rsidRPr="007A2A00">
        <w:rPr>
          <w:rStyle w:val="Hypertextovodkaz"/>
          <w:rFonts w:asciiTheme="minorHAnsi" w:hAnsiTheme="minorHAnsi"/>
          <w:b/>
        </w:rPr>
        <w:t xml:space="preserve"> </w:t>
      </w:r>
      <w:r w:rsidRPr="007A2A00">
        <w:rPr>
          <w:rStyle w:val="Hypertextovodkaz"/>
          <w:rFonts w:asciiTheme="minorHAnsi" w:hAnsiTheme="minorHAnsi"/>
        </w:rPr>
        <w:t xml:space="preserve">    </w:t>
      </w:r>
    </w:p>
    <w:p w:rsidR="00C87605" w:rsidRDefault="00C87605" w:rsidP="00C87605">
      <w:pPr>
        <w:pStyle w:val="Bezmezer"/>
        <w:rPr>
          <w:rStyle w:val="Hypertextovodkaz"/>
          <w:rFonts w:asciiTheme="minorHAnsi" w:hAnsiTheme="minorHAnsi"/>
        </w:rPr>
      </w:pPr>
    </w:p>
    <w:p w:rsidR="00D42C46" w:rsidRDefault="00C87605" w:rsidP="00C87605">
      <w:pPr>
        <w:rPr>
          <w:rFonts w:asciiTheme="minorHAnsi" w:hAnsiTheme="minorHAnsi" w:cs="Tahoma"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2400300" cy="800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E0B">
        <w:rPr>
          <w:rFonts w:asciiTheme="minorHAnsi" w:hAnsiTheme="minorHAnsi" w:cs="Tahoma"/>
          <w:sz w:val="22"/>
          <w:szCs w:val="22"/>
        </w:rPr>
        <w:t xml:space="preserve">                     </w:t>
      </w:r>
      <w:r w:rsidR="005F2E0B">
        <w:rPr>
          <w:noProof/>
          <w:sz w:val="22"/>
          <w:szCs w:val="22"/>
        </w:rPr>
        <w:drawing>
          <wp:inline distT="0" distB="0" distL="0" distR="0" wp14:anchorId="2EBBA28D" wp14:editId="6F57D1C3">
            <wp:extent cx="542479" cy="553004"/>
            <wp:effectExtent l="0" t="0" r="0" b="0"/>
            <wp:docPr id="5" name="Obrázek 5" descr="\\Kz-fs.kzcr.eu\too\1 TOO\Loga a sablony KZ\Logo - podporil UK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z-fs.kzcr.eu\too\1 TOO\Loga a sablony KZ\Logo - podporil UK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1" cy="5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0B" w:rsidRDefault="005F2E0B" w:rsidP="00C87605">
      <w:pPr>
        <w:rPr>
          <w:rFonts w:asciiTheme="minorHAnsi" w:hAnsiTheme="minorHAnsi" w:cs="Tahoma"/>
          <w:sz w:val="22"/>
          <w:szCs w:val="22"/>
        </w:rPr>
      </w:pPr>
    </w:p>
    <w:p w:rsidR="005F2E0B" w:rsidRDefault="005F2E0B" w:rsidP="00C87605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</w:t>
      </w:r>
      <w:r w:rsidR="00C70260">
        <w:rPr>
          <w:rFonts w:asciiTheme="minorHAnsi" w:hAnsiTheme="minorHAnsi" w:cs="Tahoma"/>
          <w:sz w:val="22"/>
          <w:szCs w:val="22"/>
        </w:rPr>
        <w:t xml:space="preserve">                              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F2E0B">
        <w:rPr>
          <w:rFonts w:asciiTheme="minorHAnsi" w:hAnsiTheme="minorHAnsi" w:cs="Tahoma"/>
          <w:b/>
          <w:sz w:val="22"/>
          <w:szCs w:val="22"/>
        </w:rPr>
        <w:t>Investice byla podpořena Ústecký</w:t>
      </w:r>
      <w:r>
        <w:rPr>
          <w:rFonts w:asciiTheme="minorHAnsi" w:hAnsiTheme="minorHAnsi" w:cs="Tahoma"/>
          <w:b/>
          <w:sz w:val="22"/>
          <w:szCs w:val="22"/>
        </w:rPr>
        <w:t>m</w:t>
      </w:r>
      <w:r w:rsidRPr="005F2E0B">
        <w:rPr>
          <w:rFonts w:asciiTheme="minorHAnsi" w:hAnsiTheme="minorHAnsi" w:cs="Tahoma"/>
          <w:b/>
          <w:sz w:val="22"/>
          <w:szCs w:val="22"/>
        </w:rPr>
        <w:t xml:space="preserve"> krajem</w:t>
      </w:r>
    </w:p>
    <w:p w:rsidR="005F2E0B" w:rsidRPr="005F2E0B" w:rsidRDefault="005F2E0B" w:rsidP="00C87605">
      <w:pPr>
        <w:rPr>
          <w:rFonts w:asciiTheme="minorHAnsi" w:hAnsiTheme="minorHAnsi" w:cs="Tahoma"/>
          <w:b/>
          <w:sz w:val="22"/>
          <w:szCs w:val="22"/>
        </w:rPr>
      </w:pPr>
    </w:p>
    <w:p w:rsidR="009E08E7" w:rsidRPr="004E6E18" w:rsidRDefault="009E08E7" w:rsidP="009E08E7">
      <w:pPr>
        <w:rPr>
          <w:rFonts w:asciiTheme="minorHAnsi" w:hAnsiTheme="minorHAnsi"/>
          <w:sz w:val="22"/>
          <w:szCs w:val="22"/>
        </w:rPr>
      </w:pPr>
      <w:r w:rsidRPr="004E6E18">
        <w:rPr>
          <w:rFonts w:asciiTheme="minorHAnsi" w:hAnsiTheme="minorHAnsi"/>
          <w:b/>
          <w:bCs/>
          <w:sz w:val="22"/>
          <w:szCs w:val="22"/>
        </w:rPr>
        <w:t xml:space="preserve"> 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  <w:r w:rsidRPr="004E6E18">
        <w:rPr>
          <w:rFonts w:asciiTheme="minorHAnsi" w:hAnsiTheme="minorHAnsi"/>
          <w:sz w:val="22"/>
          <w:szCs w:val="22"/>
        </w:rPr>
        <w:t xml:space="preserve"> </w:t>
      </w:r>
    </w:p>
    <w:p w:rsidR="00482B98" w:rsidRPr="009E08E7" w:rsidRDefault="00482B98" w:rsidP="009E08E7">
      <w:pPr>
        <w:rPr>
          <w:rFonts w:asciiTheme="minorHAnsi" w:hAnsiTheme="minorHAnsi" w:cstheme="minorHAnsi"/>
          <w:sz w:val="22"/>
          <w:szCs w:val="22"/>
        </w:rPr>
      </w:pPr>
    </w:p>
    <w:sectPr w:rsidR="00482B98" w:rsidRPr="009E08E7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1E" w:rsidRDefault="0001741E">
      <w:r>
        <w:separator/>
      </w:r>
    </w:p>
  </w:endnote>
  <w:endnote w:type="continuationSeparator" w:id="0">
    <w:p w:rsidR="0001741E" w:rsidRDefault="0001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NUL">
    <w:altName w:val="Times New Roman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C2957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C2957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1E" w:rsidRDefault="0001741E">
      <w:r>
        <w:separator/>
      </w:r>
    </w:p>
  </w:footnote>
  <w:footnote w:type="continuationSeparator" w:id="0">
    <w:p w:rsidR="0001741E" w:rsidRDefault="0001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124CC2"/>
    <w:rsid w:val="001374F3"/>
    <w:rsid w:val="00166CEC"/>
    <w:rsid w:val="001A12F2"/>
    <w:rsid w:val="001A63C4"/>
    <w:rsid w:val="001A6440"/>
    <w:rsid w:val="001A75E3"/>
    <w:rsid w:val="001B1390"/>
    <w:rsid w:val="001B3D04"/>
    <w:rsid w:val="001D72A5"/>
    <w:rsid w:val="001E15E6"/>
    <w:rsid w:val="00207D47"/>
    <w:rsid w:val="00213D99"/>
    <w:rsid w:val="00240FD5"/>
    <w:rsid w:val="00243398"/>
    <w:rsid w:val="00252DFD"/>
    <w:rsid w:val="00257045"/>
    <w:rsid w:val="00275C64"/>
    <w:rsid w:val="00281BDD"/>
    <w:rsid w:val="00283D4C"/>
    <w:rsid w:val="00284A31"/>
    <w:rsid w:val="00285C4D"/>
    <w:rsid w:val="002C0E76"/>
    <w:rsid w:val="002C41BA"/>
    <w:rsid w:val="00304B87"/>
    <w:rsid w:val="003149AB"/>
    <w:rsid w:val="0032574F"/>
    <w:rsid w:val="00333DE8"/>
    <w:rsid w:val="003543C8"/>
    <w:rsid w:val="0039176F"/>
    <w:rsid w:val="003A6918"/>
    <w:rsid w:val="003C3B44"/>
    <w:rsid w:val="003C6B81"/>
    <w:rsid w:val="003D1BBF"/>
    <w:rsid w:val="003D775B"/>
    <w:rsid w:val="003E3C9B"/>
    <w:rsid w:val="003F1EAE"/>
    <w:rsid w:val="003F7F07"/>
    <w:rsid w:val="00400DED"/>
    <w:rsid w:val="0045116A"/>
    <w:rsid w:val="00455CED"/>
    <w:rsid w:val="00461CA5"/>
    <w:rsid w:val="00480EFE"/>
    <w:rsid w:val="00482B98"/>
    <w:rsid w:val="004A4AEE"/>
    <w:rsid w:val="004A5F70"/>
    <w:rsid w:val="004C2749"/>
    <w:rsid w:val="004D130C"/>
    <w:rsid w:val="004D3CF1"/>
    <w:rsid w:val="004D4750"/>
    <w:rsid w:val="004D5609"/>
    <w:rsid w:val="004E6E18"/>
    <w:rsid w:val="00513EA2"/>
    <w:rsid w:val="00536E4E"/>
    <w:rsid w:val="00552347"/>
    <w:rsid w:val="00580134"/>
    <w:rsid w:val="00580933"/>
    <w:rsid w:val="00585A16"/>
    <w:rsid w:val="00596D03"/>
    <w:rsid w:val="005B7231"/>
    <w:rsid w:val="005C2957"/>
    <w:rsid w:val="005D1B1D"/>
    <w:rsid w:val="005D5B16"/>
    <w:rsid w:val="005F2E0B"/>
    <w:rsid w:val="005F4971"/>
    <w:rsid w:val="00605CD6"/>
    <w:rsid w:val="0063426F"/>
    <w:rsid w:val="00663F28"/>
    <w:rsid w:val="00666924"/>
    <w:rsid w:val="00683C0F"/>
    <w:rsid w:val="006C47B8"/>
    <w:rsid w:val="006D219C"/>
    <w:rsid w:val="006E3E83"/>
    <w:rsid w:val="006F5472"/>
    <w:rsid w:val="006F7FB2"/>
    <w:rsid w:val="00703458"/>
    <w:rsid w:val="00761604"/>
    <w:rsid w:val="00771B4B"/>
    <w:rsid w:val="007810ED"/>
    <w:rsid w:val="00782CF6"/>
    <w:rsid w:val="007938D2"/>
    <w:rsid w:val="007A2A00"/>
    <w:rsid w:val="007B0270"/>
    <w:rsid w:val="007D36A3"/>
    <w:rsid w:val="007F32ED"/>
    <w:rsid w:val="00827DAE"/>
    <w:rsid w:val="00844142"/>
    <w:rsid w:val="008534FA"/>
    <w:rsid w:val="008549DD"/>
    <w:rsid w:val="00896762"/>
    <w:rsid w:val="008A33B2"/>
    <w:rsid w:val="008B1D9E"/>
    <w:rsid w:val="008C5BCE"/>
    <w:rsid w:val="008F2622"/>
    <w:rsid w:val="009060BF"/>
    <w:rsid w:val="009528A3"/>
    <w:rsid w:val="00960BC1"/>
    <w:rsid w:val="009733E4"/>
    <w:rsid w:val="00986238"/>
    <w:rsid w:val="00996957"/>
    <w:rsid w:val="009A28BD"/>
    <w:rsid w:val="009E08E7"/>
    <w:rsid w:val="009E5790"/>
    <w:rsid w:val="009E6A9A"/>
    <w:rsid w:val="009F6342"/>
    <w:rsid w:val="00A0192F"/>
    <w:rsid w:val="00A511D3"/>
    <w:rsid w:val="00A512E6"/>
    <w:rsid w:val="00A56EEB"/>
    <w:rsid w:val="00A66C65"/>
    <w:rsid w:val="00A83273"/>
    <w:rsid w:val="00AA187E"/>
    <w:rsid w:val="00AB217F"/>
    <w:rsid w:val="00AB5829"/>
    <w:rsid w:val="00AB6844"/>
    <w:rsid w:val="00AB6878"/>
    <w:rsid w:val="00AB6954"/>
    <w:rsid w:val="00AE21AD"/>
    <w:rsid w:val="00AF0B98"/>
    <w:rsid w:val="00AF39F6"/>
    <w:rsid w:val="00AF79DD"/>
    <w:rsid w:val="00B132F5"/>
    <w:rsid w:val="00B32DD2"/>
    <w:rsid w:val="00B71BAB"/>
    <w:rsid w:val="00B727AE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70260"/>
    <w:rsid w:val="00C73D50"/>
    <w:rsid w:val="00C87605"/>
    <w:rsid w:val="00CB374F"/>
    <w:rsid w:val="00CD4814"/>
    <w:rsid w:val="00CD60AD"/>
    <w:rsid w:val="00CE17F3"/>
    <w:rsid w:val="00D06C45"/>
    <w:rsid w:val="00D42C46"/>
    <w:rsid w:val="00D518B0"/>
    <w:rsid w:val="00D57EB0"/>
    <w:rsid w:val="00D65097"/>
    <w:rsid w:val="00D66CDD"/>
    <w:rsid w:val="00D739D2"/>
    <w:rsid w:val="00D96C70"/>
    <w:rsid w:val="00DB1566"/>
    <w:rsid w:val="00DD2621"/>
    <w:rsid w:val="00DF4D30"/>
    <w:rsid w:val="00E164FB"/>
    <w:rsid w:val="00E214CA"/>
    <w:rsid w:val="00E24DE2"/>
    <w:rsid w:val="00E2530B"/>
    <w:rsid w:val="00E371CF"/>
    <w:rsid w:val="00E54454"/>
    <w:rsid w:val="00E61D1D"/>
    <w:rsid w:val="00E71597"/>
    <w:rsid w:val="00E815FA"/>
    <w:rsid w:val="00EA2180"/>
    <w:rsid w:val="00EF3235"/>
    <w:rsid w:val="00F0587F"/>
    <w:rsid w:val="00F066B9"/>
    <w:rsid w:val="00F11D68"/>
    <w:rsid w:val="00F475FF"/>
    <w:rsid w:val="00FA292B"/>
    <w:rsid w:val="00FB6CF6"/>
    <w:rsid w:val="00FC4114"/>
    <w:rsid w:val="00FC7EC1"/>
    <w:rsid w:val="00FD38DB"/>
    <w:rsid w:val="00FE34F0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54417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zcr.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10</cp:revision>
  <cp:lastPrinted>2019-04-30T15:37:00Z</cp:lastPrinted>
  <dcterms:created xsi:type="dcterms:W3CDTF">2019-04-30T15:22:00Z</dcterms:created>
  <dcterms:modified xsi:type="dcterms:W3CDTF">2019-04-30T15:50:00Z</dcterms:modified>
</cp:coreProperties>
</file>